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contextualSpacing w:val="0"/>
        <w:jc w:val="center"/>
        <w:rPr/>
      </w:pPr>
      <w:bookmarkStart w:colFirst="0" w:colLast="0" w:name="_qo0mb1tvurht" w:id="0"/>
      <w:bookmarkEnd w:id="0"/>
      <w:r w:rsidDel="00000000" w:rsidR="00000000" w:rsidRPr="00000000">
        <w:rPr>
          <w:rtl w:val="0"/>
        </w:rPr>
        <w:t xml:space="preserve">04. Svalová buňka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Svalstvo obstarává veškerý pohyb a změny napětí orgánů uvnitř těla i pohyb organicjmu v prostředí. Pohyb je jedním ze základních projevů života.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iocmlx7dh4tb" w:id="1"/>
      <w:bookmarkEnd w:id="1"/>
      <w:r w:rsidDel="00000000" w:rsidR="00000000" w:rsidRPr="00000000">
        <w:rPr>
          <w:rtl w:val="0"/>
        </w:rPr>
        <w:t xml:space="preserve">Stavba svalu</w:t>
      </w:r>
    </w:p>
    <w:p w:rsidR="00000000" w:rsidDel="00000000" w:rsidP="00000000" w:rsidRDefault="00000000" w:rsidRPr="00000000">
      <w:pPr>
        <w:contextualSpacing w:val="0"/>
        <w:jc w:val="both"/>
        <w:rPr>
          <w:color w:val="ff0000"/>
        </w:rPr>
      </w:pPr>
      <w:r w:rsidDel="00000000" w:rsidR="00000000" w:rsidRPr="00000000">
        <w:rPr>
          <w:rtl w:val="0"/>
        </w:rPr>
        <w:t xml:space="preserve">šlacha → snopce → snopečky → </w:t>
      </w:r>
      <w:r w:rsidDel="00000000" w:rsidR="00000000" w:rsidRPr="00000000">
        <w:rPr>
          <w:color w:val="ff0000"/>
          <w:rtl w:val="0"/>
        </w:rPr>
        <w:t xml:space="preserve">svalové vlákno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color w:val="ff0000"/>
          <w:rtl w:val="0"/>
        </w:rPr>
        <w:t xml:space="preserve">myofibrila 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→ </w:t>
      </w:r>
      <w:r w:rsidDel="00000000" w:rsidR="00000000" w:rsidRPr="00000000">
        <w:rPr>
          <w:color w:val="ff0000"/>
          <w:rtl w:val="0"/>
        </w:rPr>
        <w:t xml:space="preserve">sarkomera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Svalová vlákna obsahují velký počet </w:t>
      </w:r>
      <w:r w:rsidDel="00000000" w:rsidR="00000000" w:rsidRPr="00000000">
        <w:rPr>
          <w:color w:val="ff0000"/>
          <w:rtl w:val="0"/>
        </w:rPr>
        <w:t xml:space="preserve">myofibril</w:t>
      </w:r>
      <w:r w:rsidDel="00000000" w:rsidR="00000000" w:rsidRPr="00000000">
        <w:rPr>
          <w:rtl w:val="0"/>
        </w:rPr>
        <w:t xml:space="preserve">, jež jsou tvořeny kontraktilními proteiny - </w:t>
      </w:r>
      <w:r w:rsidDel="00000000" w:rsidR="00000000" w:rsidRPr="00000000">
        <w:rPr>
          <w:color w:val="ff0000"/>
          <w:rtl w:val="0"/>
        </w:rPr>
        <w:t xml:space="preserve">aktinem </w:t>
      </w:r>
      <w:r w:rsidDel="00000000" w:rsidR="00000000" w:rsidRPr="00000000">
        <w:rPr>
          <w:rtl w:val="0"/>
        </w:rPr>
        <w:t xml:space="preserve">a </w:t>
      </w:r>
      <w:r w:rsidDel="00000000" w:rsidR="00000000" w:rsidRPr="00000000">
        <w:rPr>
          <w:color w:val="ff0000"/>
          <w:rtl w:val="0"/>
        </w:rPr>
        <w:t xml:space="preserve">myosinem</w:t>
      </w:r>
      <w:r w:rsidDel="00000000" w:rsidR="00000000" w:rsidRPr="00000000">
        <w:rPr>
          <w:rtl w:val="0"/>
        </w:rPr>
        <w:t xml:space="preserve">. 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Myofibrily jsou členěny na pravidelné úseky - </w:t>
      </w:r>
      <w:r w:rsidDel="00000000" w:rsidR="00000000" w:rsidRPr="00000000">
        <w:rPr>
          <w:color w:val="ff0000"/>
          <w:rtl w:val="0"/>
        </w:rPr>
        <w:t xml:space="preserve">sarkomery</w:t>
      </w:r>
      <w:r w:rsidDel="00000000" w:rsidR="00000000" w:rsidRPr="00000000">
        <w:rPr>
          <w:rtl w:val="0"/>
        </w:rPr>
        <w:t xml:space="preserve">, což jsou základní strukturní a funkční jednotky. Sarkomera je vzdálenost mezi dvěma Z-liniemi (Z-destičkami). 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Do Z-linií jsou zakotvena tenká </w:t>
      </w:r>
      <w:r w:rsidDel="00000000" w:rsidR="00000000" w:rsidRPr="00000000">
        <w:rPr>
          <w:color w:val="ff0000"/>
          <w:rtl w:val="0"/>
        </w:rPr>
        <w:t xml:space="preserve">filamenta aktinu</w:t>
      </w:r>
      <w:r w:rsidDel="00000000" w:rsidR="00000000" w:rsidRPr="00000000">
        <w:rPr>
          <w:rtl w:val="0"/>
        </w:rPr>
        <w:t xml:space="preserve">, mezi nimi jsou tlustá </w:t>
      </w:r>
      <w:r w:rsidDel="00000000" w:rsidR="00000000" w:rsidRPr="00000000">
        <w:rPr>
          <w:color w:val="ff0000"/>
          <w:rtl w:val="0"/>
        </w:rPr>
        <w:t xml:space="preserve">filamenta myosinu</w:t>
      </w:r>
      <w:r w:rsidDel="00000000" w:rsidR="00000000" w:rsidRPr="00000000">
        <w:rPr>
          <w:rtl w:val="0"/>
        </w:rPr>
        <w:t xml:space="preserve">. Aktinová a myosinová vlákna se částečně překrývají, tím vzniká typický mikroskopický obraz příčného pruhování, ve kterém se střídají </w:t>
      </w:r>
      <w:r w:rsidDel="00000000" w:rsidR="00000000" w:rsidRPr="00000000">
        <w:rPr>
          <w:b w:val="1"/>
          <w:color w:val="bf9000"/>
          <w:rtl w:val="0"/>
        </w:rPr>
        <w:t xml:space="preserve">A</w:t>
      </w:r>
      <w:r w:rsidDel="00000000" w:rsidR="00000000" w:rsidRPr="00000000">
        <w:rPr>
          <w:color w:val="bf9000"/>
          <w:rtl w:val="0"/>
        </w:rPr>
        <w:t xml:space="preserve">nizotropní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color w:val="0b5394"/>
          <w:rtl w:val="0"/>
        </w:rPr>
        <w:t xml:space="preserve">I</w:t>
      </w:r>
      <w:r w:rsidDel="00000000" w:rsidR="00000000" w:rsidRPr="00000000">
        <w:rPr>
          <w:color w:val="0b5394"/>
          <w:rtl w:val="0"/>
        </w:rPr>
        <w:t xml:space="preserve">zotropní</w:t>
      </w:r>
      <w:r w:rsidDel="00000000" w:rsidR="00000000" w:rsidRPr="00000000">
        <w:rPr>
          <w:rtl w:val="0"/>
        </w:rPr>
        <w:t xml:space="preserve"> části.</w:t>
      </w:r>
    </w:p>
    <w:p w:rsidR="00000000" w:rsidDel="00000000" w:rsidP="00000000" w:rsidRDefault="00000000" w:rsidRPr="00000000">
      <w:pPr>
        <w:pStyle w:val="Heading2"/>
        <w:contextualSpacing w:val="0"/>
        <w:jc w:val="both"/>
        <w:rPr/>
      </w:pPr>
      <w:bookmarkStart w:colFirst="0" w:colLast="0" w:name="_z75t9wi8j5i5" w:id="2"/>
      <w:bookmarkEnd w:id="2"/>
      <w:r w:rsidDel="00000000" w:rsidR="00000000" w:rsidRPr="00000000">
        <w:rPr>
          <w:rtl w:val="0"/>
        </w:rPr>
        <w:t xml:space="preserve">Triáda (T-tubulus)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zprostředkovává rychlý přenos akčního potenciálu z buněčné membrány k myofibrilám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1750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color w:val="ff0000"/>
          <w:rtl w:val="0"/>
        </w:rPr>
        <w:t xml:space="preserve">struktura</w:t>
      </w:r>
      <w:r w:rsidDel="00000000" w:rsidR="00000000" w:rsidRPr="00000000">
        <w:rPr>
          <w:rtl w:val="0"/>
        </w:rPr>
        <w:t xml:space="preserve">: terminální cisterna - T-tubulus - terminální cisterna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Tubuly tvoří síť kolem myofibril. Na rozhraní </w:t>
      </w:r>
      <w:r w:rsidDel="00000000" w:rsidR="00000000" w:rsidRPr="00000000">
        <w:rPr>
          <w:b w:val="1"/>
          <w:rtl w:val="0"/>
        </w:rPr>
        <w:t xml:space="preserve">A</w:t>
      </w:r>
      <w:r w:rsidDel="00000000" w:rsidR="00000000" w:rsidRPr="00000000">
        <w:rPr>
          <w:rtl w:val="0"/>
        </w:rPr>
        <w:t xml:space="preserve"> a </w:t>
      </w: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rtl w:val="0"/>
        </w:rPr>
        <w:t xml:space="preserve">proužku myofibrily končí vústěním do široké terminální cisterny (obruč obepínající celou myofibrilu). Cisterna naléhá stranou odvrácenou od vústění tubulů retikula ke kolmo probíhajícímu T-tubulu sarkolemy. Ke každému T-tubulu naléhají 2 cisterny (z každé strany jedna) = komplexní struktura tvoří </w:t>
      </w:r>
      <w:r w:rsidDel="00000000" w:rsidR="00000000" w:rsidRPr="00000000">
        <w:rPr>
          <w:color w:val="ff0000"/>
          <w:rtl w:val="0"/>
        </w:rPr>
        <w:t xml:space="preserve">triádu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pStyle w:val="Heading2"/>
        <w:contextualSpacing w:val="0"/>
        <w:jc w:val="both"/>
        <w:rPr/>
      </w:pPr>
      <w:bookmarkStart w:colFirst="0" w:colLast="0" w:name="_px7j3x633sdw" w:id="3"/>
      <w:bookmarkEnd w:id="3"/>
      <w:r w:rsidDel="00000000" w:rsidR="00000000" w:rsidRPr="00000000">
        <w:rPr>
          <w:rtl w:val="0"/>
        </w:rPr>
        <w:t xml:space="preserve">Myofibrily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Základem každé myofibrily jsou částečně se překrývající světlejší</w:t>
      </w:r>
      <w:r w:rsidDel="00000000" w:rsidR="00000000" w:rsidRPr="00000000">
        <w:rPr>
          <w:color w:val="ff0000"/>
          <w:rtl w:val="0"/>
        </w:rPr>
        <w:t xml:space="preserve"> isotropní aktinové</w:t>
      </w:r>
      <w:r w:rsidDel="00000000" w:rsidR="00000000" w:rsidRPr="00000000">
        <w:rPr>
          <w:rtl w:val="0"/>
        </w:rPr>
        <w:t xml:space="preserve"> a tmavší </w:t>
      </w:r>
      <w:r w:rsidDel="00000000" w:rsidR="00000000" w:rsidRPr="00000000">
        <w:rPr>
          <w:color w:val="ff0000"/>
          <w:rtl w:val="0"/>
        </w:rPr>
        <w:t xml:space="preserve">anisotropní myozinové</w:t>
      </w:r>
      <w:r w:rsidDel="00000000" w:rsidR="00000000" w:rsidRPr="00000000">
        <w:rPr>
          <w:rtl w:val="0"/>
        </w:rPr>
        <w:t xml:space="preserve"> myofilamenty. Aktinových je přibližně 3000, myozinových 1500. Podélné uspořádání aktinových a myozinových myofilament vytváří charakteristické příčné pruhování, viditelné v světelném mikroskopu. Důvodem je střídání jejich vzájemně se překrývajících a nepřekrývajících se úseků.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Jsou rozděleny do sarkomer = úsek myofibrily příčně pruhovaného svalu oddělený Z-liniemi</w:t>
      </w:r>
    </w:p>
    <w:p w:rsidR="00000000" w:rsidDel="00000000" w:rsidP="00000000" w:rsidRDefault="00000000" w:rsidRPr="00000000">
      <w:pPr>
        <w:pStyle w:val="Heading2"/>
        <w:contextualSpacing w:val="0"/>
        <w:jc w:val="both"/>
        <w:rPr/>
      </w:pPr>
      <w:bookmarkStart w:colFirst="0" w:colLast="0" w:name="_50xrzn1z148f" w:id="4"/>
      <w:bookmarkEnd w:id="4"/>
      <w:r w:rsidDel="00000000" w:rsidR="00000000" w:rsidRPr="00000000">
        <w:rPr>
          <w:rtl w:val="0"/>
        </w:rPr>
        <w:t xml:space="preserve">Aktinová a myozinová filamenta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8qzrxs306vfp" w:id="5"/>
      <w:bookmarkEnd w:id="5"/>
      <w:r w:rsidDel="00000000" w:rsidR="00000000" w:rsidRPr="00000000">
        <w:rPr>
          <w:rtl w:val="0"/>
        </w:rPr>
        <w:t xml:space="preserve">Aktin - tenké filamentum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dvoušroubovice vláknitého F-aktinu, tvořená kulovitými jednotkami G-aktinu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po obou stranách jsou připojeny molekuly tropomyosinu a troponinu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tropomyosin za klidových podmínek kryje aktivní místa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jc w:val="both"/>
        <w:rPr/>
      </w:pPr>
      <w:r w:rsidDel="00000000" w:rsidR="00000000" w:rsidRPr="00000000">
        <w:rPr>
          <w:rtl w:val="0"/>
        </w:rPr>
        <w:t xml:space="preserve">troponin je bílkovina v určitých vzdálenostech umístěná na aktinu a má 3 podjednotky (pro nás nezajímavé snad)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19663" cy="297468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974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713quyldt88i" w:id="6"/>
      <w:bookmarkEnd w:id="6"/>
      <w:r w:rsidDel="00000000" w:rsidR="00000000" w:rsidRPr="00000000">
        <w:rPr>
          <w:rtl w:val="0"/>
        </w:rPr>
        <w:t xml:space="preserve">Myosin II - tlusté filamentum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2762250</wp:posOffset>
            </wp:positionH>
            <wp:positionV relativeFrom="paragraph">
              <wp:posOffset>409575</wp:posOffset>
            </wp:positionV>
            <wp:extent cx="2857500" cy="1276350"/>
            <wp:effectExtent b="0" l="0" r="0" t="0"/>
            <wp:wrapSquare wrapText="bothSides" distB="114300" distT="114300" distL="114300" distR="11430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76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každé vlákno tvoří dvě molekuly myosinu, které se kolem sebe obtáčejí (ocas) a na konci se rozšiřují (hlavička)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část mezi hlavičkou a ocasem má schopnost ohybu (krček)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hlavička má ATP-ázovou aktivitu a váže se na aktivní místa aktinu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je tvořeno mnoha molekulamy myosinu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ocasy vytváří osu filamenta, hlavičky ční do prostoru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2nwh9l5yx6cf" w:id="7"/>
      <w:bookmarkEnd w:id="7"/>
      <w:r w:rsidDel="00000000" w:rsidR="00000000" w:rsidRPr="00000000">
        <w:rPr>
          <w:rtl w:val="0"/>
        </w:rPr>
        <w:t xml:space="preserve">Popis kontrakce kosterního svalu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6990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30"/>
        <w:contextualSpacing w:val="0"/>
        <w:jc w:val="both"/>
        <w:rPr/>
      </w:pPr>
      <w:r w:rsidDel="00000000" w:rsidR="00000000" w:rsidRPr="00000000">
        <w:rPr>
          <w:rtl w:val="0"/>
        </w:rPr>
        <w:t xml:space="preserve">V zakončení motoneuronu se nachází velké množství vezikul s neurotransmiterem acetycholinem. Při průchodu akčního potenciálu nervovým vláknem se váčky otevřou do synaptické štěrbiny. Acetylcholin se vyplaví a naváže se na postsynaptické receptory. Toto navázání mediátoru na receptor způsobí v postsynaptické membráně otevření kanálů pro sodíkové ionty, a vyvolá tak vznik akčního potenciálu na svalové buňce. Tento potenciál se následně šíří po celé svalové buňce. T-tubuly jej odvádějí k hlubším strukturám svalové buňky tak, že cisterny sarkoplazmatického retikula jsou aktivovány v podstatě najednou.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Po aktivaci sarkoplazmatického retikula se do sarkoplazmy uvolní ionty Ca2+, které se poté navážou na troponin, a tím zahájí proces svalové kontrakce. Pro posun filament ve svalovém vlákně, a tedy ke vzniku svalové kontrakce, je zapotřebí energie. Tato energie je ve svalech ukryta v podobě adenosintrifosfátu, neboli ATP. Molekuly ATP se vážou na hlavy myozinu, které mají ATPázovou aktivitu. V okamžiku napojení myozinové hlavice na aktinové vlákno se ATP rozštěpí na ADP + Pi a myozinové hlavice se připojí k aktinovému vláknu a sklopí o 40 °, což má za následek, že aktinová a myozinová vlákna se vůči sobě posunou. S vazbou a rozpadem další molekuly ATP se hlavice myozinu uvolní od aktinu a vrátí do původní polohy. Zhruba po jedné minutě se vápenaté ionty aktivně pumpují zpět do sarkoplazmatického retikula, zde jsou uskladněny do příchodu dalšího akčního potenciálu.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48213" cy="9338677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9338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98qo89q7tzm6" w:id="8"/>
      <w:bookmarkEnd w:id="8"/>
      <w:r w:rsidDel="00000000" w:rsidR="00000000" w:rsidRPr="00000000">
        <w:rPr>
          <w:rtl w:val="0"/>
        </w:rPr>
        <w:t xml:space="preserve">Nervosvalový přenos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funkční spojení axonu motoneuronů a vlákna kosterního svalu pomocí chemické synapse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28067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go6aiaayaoro" w:id="9"/>
      <w:bookmarkEnd w:id="9"/>
      <w:r w:rsidDel="00000000" w:rsidR="00000000" w:rsidRPr="00000000">
        <w:rPr>
          <w:rtl w:val="0"/>
        </w:rPr>
        <w:t xml:space="preserve">Motorická jednotka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soubor svalových vláken, který patří k jednomu hybnému (motorickému) neuronu</w:t>
      </w:r>
    </w:p>
    <w:p w:rsidR="00000000" w:rsidDel="00000000" w:rsidP="00000000" w:rsidRDefault="00000000" w:rsidRPr="00000000">
      <w:pPr>
        <w:contextualSpacing w:val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tlaaec3dl5ng" w:id="10"/>
      <w:bookmarkEnd w:id="10"/>
      <w:r w:rsidDel="00000000" w:rsidR="00000000" w:rsidRPr="00000000">
        <w:rPr>
          <w:rtl w:val="0"/>
        </w:rPr>
        <w:t xml:space="preserve">Motorická destička (nervosvalová ploténka)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má stavbu a vlastnosti jednoduché synapse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zvláštností je velké profilování postsynaptické membrány  tím zvětšení styčného povrchu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mediátorem přenosu vzruchu je </w:t>
      </w:r>
      <w:r w:rsidDel="00000000" w:rsidR="00000000" w:rsidRPr="00000000">
        <w:rPr>
          <w:color w:val="ff0000"/>
          <w:rtl w:val="0"/>
        </w:rPr>
        <w:t xml:space="preserve">acetylcholin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848epaikb5ke" w:id="11"/>
      <w:bookmarkEnd w:id="11"/>
      <w:r w:rsidDel="00000000" w:rsidR="00000000" w:rsidRPr="00000000">
        <w:rPr>
          <w:rtl w:val="0"/>
        </w:rPr>
        <w:t xml:space="preserve">Úloha acetylcholinu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nervový vzruch přicházející po motorickém presynaptickém vlákně zvětší propustnost presynaptické membrány a uvolní </w:t>
      </w:r>
      <w:r w:rsidDel="00000000" w:rsidR="00000000" w:rsidRPr="00000000">
        <w:rPr>
          <w:color w:val="ff0000"/>
          <w:rtl w:val="0"/>
        </w:rPr>
        <w:t xml:space="preserve">acetylcholin </w:t>
      </w:r>
      <w:r w:rsidDel="00000000" w:rsidR="00000000" w:rsidRPr="00000000">
        <w:rPr>
          <w:rtl w:val="0"/>
        </w:rPr>
        <w:t xml:space="preserve">v dostatečném počtu kvant do </w:t>
      </w:r>
      <w:r w:rsidDel="00000000" w:rsidR="00000000" w:rsidRPr="00000000">
        <w:rPr>
          <w:color w:val="ff0000"/>
          <w:rtl w:val="0"/>
        </w:rPr>
        <w:t xml:space="preserve">synaptické štěrbiny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jeho vazbou na recepční místa pro acetylcholin na vnější straně postsynaptické membrány, se </w:t>
      </w:r>
      <w:r w:rsidDel="00000000" w:rsidR="00000000" w:rsidRPr="00000000">
        <w:rPr>
          <w:color w:val="ff0000"/>
          <w:rtl w:val="0"/>
        </w:rPr>
        <w:t xml:space="preserve">zvýší propustnost</w:t>
      </w:r>
      <w:r w:rsidDel="00000000" w:rsidR="00000000" w:rsidRPr="00000000">
        <w:rPr>
          <w:rtl w:val="0"/>
        </w:rPr>
        <w:t xml:space="preserve"> této membrány pro</w:t>
      </w:r>
      <w:r w:rsidDel="00000000" w:rsidR="00000000" w:rsidRPr="00000000">
        <w:rPr>
          <w:color w:val="ff0000"/>
          <w:rtl w:val="0"/>
        </w:rPr>
        <w:t xml:space="preserve"> Na</w:t>
      </w:r>
      <w:r w:rsidDel="00000000" w:rsidR="00000000" w:rsidRPr="00000000">
        <w:rPr>
          <w:color w:val="ff0000"/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a</w:t>
      </w:r>
      <w:r w:rsidDel="00000000" w:rsidR="00000000" w:rsidRPr="00000000">
        <w:rPr>
          <w:color w:val="ff0000"/>
          <w:rtl w:val="0"/>
        </w:rPr>
        <w:t xml:space="preserve"> K</w:t>
      </w:r>
      <w:r w:rsidDel="00000000" w:rsidR="00000000" w:rsidRPr="00000000">
        <w:rPr>
          <w:color w:val="ff0000"/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, změní jeji polarizace a vznikne typický postsynaptický potenciál = </w:t>
      </w:r>
      <w:r w:rsidDel="00000000" w:rsidR="00000000" w:rsidRPr="00000000">
        <w:rPr>
          <w:color w:val="ff0000"/>
          <w:rtl w:val="0"/>
        </w:rPr>
        <w:t xml:space="preserve">ploténkový (synaptický) potenciál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 dosažení prahové hodnoty, vybaví na svalovém vlákně akční potenciál, který se šíří jako vzruchová aktivita od ploténky k okrajům svalových vláken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následuje kontrakce svalu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acetylcholin, který prošel synaptickou štěrbinou a vyvolal elektrickou změnu je rychle odstraněn - jednak enzymem choliesterázy, jednak difúzí do okolí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při nedostatečném odstraňování mediátoru dochází k blokádě přenosu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TODO odpoledne dodat obrázek akčního potenciálu ze strany 718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hwgqkddvzqwm" w:id="12"/>
      <w:bookmarkEnd w:id="12"/>
      <w:r w:rsidDel="00000000" w:rsidR="00000000" w:rsidRPr="00000000">
        <w:rPr>
          <w:rtl w:val="0"/>
        </w:rPr>
        <w:t xml:space="preserve">Organofosfáty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látky, které blokují acetylcholinesterázu, čímž zvyšují ploténkové potenciály, což vede k inhibitaci acetylcholinesterázi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7o1d9wz6al6o" w:id="13"/>
      <w:bookmarkEnd w:id="13"/>
      <w:r w:rsidDel="00000000" w:rsidR="00000000" w:rsidRPr="00000000">
        <w:rPr>
          <w:rtl w:val="0"/>
        </w:rPr>
        <w:t xml:space="preserve">Poruchy činnosti nervosvalového spojení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porucha uvolňování ACh acetylcholinu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porucha AChR - receptor yACh jsou poškozeny / je jich málo</w:t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7u69gomq171m" w:id="14"/>
      <w:bookmarkEnd w:id="14"/>
      <w:r w:rsidDel="00000000" w:rsidR="00000000" w:rsidRPr="00000000">
        <w:rPr>
          <w:rtl w:val="0"/>
        </w:rPr>
        <w:t xml:space="preserve">Ovlivnění nervosvalového přenosu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color w:val="ff0000"/>
          <w:sz w:val="22"/>
          <w:szCs w:val="22"/>
        </w:rPr>
      </w:pPr>
      <w:r w:rsidDel="00000000" w:rsidR="00000000" w:rsidRPr="00000000">
        <w:rPr>
          <w:color w:val="ff0000"/>
          <w:rtl w:val="0"/>
        </w:rPr>
        <w:t xml:space="preserve">vznik akčního potenciálu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blokátory Na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kanálů: </w:t>
      </w:r>
      <w:r w:rsidDel="00000000" w:rsidR="00000000" w:rsidRPr="00000000">
        <w:rPr>
          <w:color w:val="ff0000"/>
          <w:rtl w:val="0"/>
        </w:rPr>
        <w:t xml:space="preserve">tetrodotoxin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blokátory K</w:t>
      </w:r>
      <w:r w:rsidDel="00000000" w:rsidR="00000000" w:rsidRPr="00000000">
        <w:rPr>
          <w:vertAlign w:val="superscript"/>
          <w:rtl w:val="0"/>
        </w:rPr>
        <w:t xml:space="preserve">+</w:t>
      </w:r>
      <w:r w:rsidDel="00000000" w:rsidR="00000000" w:rsidRPr="00000000">
        <w:rPr>
          <w:rtl w:val="0"/>
        </w:rPr>
        <w:t xml:space="preserve"> kanálů: </w:t>
      </w:r>
      <w:r w:rsidDel="00000000" w:rsidR="00000000" w:rsidRPr="00000000">
        <w:rPr>
          <w:color w:val="ff0000"/>
          <w:rtl w:val="0"/>
        </w:rPr>
        <w:t xml:space="preserve">3,4-diaminopyridin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color w:val="ff0000"/>
          <w:sz w:val="22"/>
          <w:szCs w:val="22"/>
        </w:rPr>
      </w:pPr>
      <w:r w:rsidDel="00000000" w:rsidR="00000000" w:rsidRPr="00000000">
        <w:rPr>
          <w:color w:val="ff0000"/>
          <w:rtl w:val="0"/>
        </w:rPr>
        <w:t xml:space="preserve">uvolňování ACh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color w:val="ff0000"/>
          <w:rtl w:val="0"/>
        </w:rPr>
        <w:t xml:space="preserve">botulotoxin</w:t>
      </w:r>
      <w:r w:rsidDel="00000000" w:rsidR="00000000" w:rsidRPr="00000000">
        <w:rPr>
          <w:rtl w:val="0"/>
        </w:rPr>
        <w:t xml:space="preserve">, Mg</w:t>
      </w:r>
      <w:r w:rsidDel="00000000" w:rsidR="00000000" w:rsidRPr="00000000">
        <w:rPr>
          <w:vertAlign w:val="superscript"/>
          <w:rtl w:val="0"/>
        </w:rPr>
        <w:t xml:space="preserve">2+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color w:val="ff0000"/>
          <w:sz w:val="22"/>
          <w:szCs w:val="22"/>
        </w:rPr>
      </w:pPr>
      <w:r w:rsidDel="00000000" w:rsidR="00000000" w:rsidRPr="00000000">
        <w:rPr>
          <w:color w:val="ff0000"/>
          <w:rtl w:val="0"/>
        </w:rPr>
        <w:t xml:space="preserve">ovlivnění AChR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depolarizující myorelaxancia: suxamethonium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kompetitivní myorelaxancia: </w:t>
      </w:r>
      <w:r w:rsidDel="00000000" w:rsidR="00000000" w:rsidRPr="00000000">
        <w:rPr>
          <w:color w:val="ff0000"/>
          <w:rtl w:val="0"/>
        </w:rPr>
        <w:t xml:space="preserve">kurare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color w:val="ff0000"/>
          <w:rtl w:val="0"/>
        </w:rPr>
        <w:t xml:space="preserve">degradace ACh</w:t>
      </w:r>
      <w:r w:rsidDel="00000000" w:rsidR="00000000" w:rsidRPr="00000000">
        <w:rPr>
          <w:rtl w:val="0"/>
        </w:rPr>
        <w:t xml:space="preserve"> - blokátory AChE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krátkodobé: fysostigmin, neostigmin</w:t>
      </w:r>
    </w:p>
    <w:p w:rsidR="00000000" w:rsidDel="00000000" w:rsidP="00000000" w:rsidRDefault="00000000" w:rsidRPr="00000000">
      <w:pPr>
        <w:numPr>
          <w:ilvl w:val="1"/>
          <w:numId w:val="10"/>
        </w:numPr>
        <w:ind w:left="144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dlouhodobé: </w:t>
      </w:r>
      <w:r w:rsidDel="00000000" w:rsidR="00000000" w:rsidRPr="00000000">
        <w:rPr>
          <w:color w:val="ff0000"/>
          <w:rtl w:val="0"/>
        </w:rPr>
        <w:t xml:space="preserve">organofosfáty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1nd9qasnz7n4" w:id="15"/>
      <w:bookmarkEnd w:id="15"/>
      <w:r w:rsidDel="00000000" w:rsidR="00000000" w:rsidRPr="00000000">
        <w:rPr>
          <w:rtl w:val="0"/>
        </w:rPr>
        <w:t xml:space="preserve">Tetrodotoxin</w:t>
      </w:r>
    </w:p>
    <w:p w:rsidR="00000000" w:rsidDel="00000000" w:rsidP="00000000" w:rsidRDefault="00000000" w:rsidRPr="00000000">
      <w:pPr>
        <w:contextualSpacing w:val="0"/>
        <w:rPr>
          <w:color w:val="ff0000"/>
        </w:rPr>
      </w:pPr>
      <w:r w:rsidDel="00000000" w:rsidR="00000000" w:rsidRPr="00000000">
        <w:rPr>
          <w:rtl w:val="0"/>
        </w:rPr>
        <w:t xml:space="preserve">= velice účinný jed, inhibičně působící na napěťově řízené sodíkové kanály, čímž </w:t>
      </w:r>
      <w:r w:rsidDel="00000000" w:rsidR="00000000" w:rsidRPr="00000000">
        <w:rPr>
          <w:color w:val="ff0000"/>
          <w:rtl w:val="0"/>
        </w:rPr>
        <w:t xml:space="preserve">znemožňuje vznik akčního potenciálu na membráních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je rozpustný ve vodě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viz ryba Fugu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wze0j35a4qe2" w:id="16"/>
      <w:bookmarkEnd w:id="16"/>
      <w:r w:rsidDel="00000000" w:rsidR="00000000" w:rsidRPr="00000000">
        <w:rPr>
          <w:rtl w:val="0"/>
        </w:rPr>
        <w:t xml:space="preserve">Botulotoxin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otrava termolabilním botulotoxinem produkovaným grampozitivní bakterií Clostridium botulinum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podstatou otravy je</w:t>
      </w:r>
      <w:r w:rsidDel="00000000" w:rsidR="00000000" w:rsidRPr="00000000">
        <w:rPr>
          <w:color w:val="ff0000"/>
          <w:rtl w:val="0"/>
        </w:rPr>
        <w:t xml:space="preserve"> snížené množství uvolněného acetylcholinu z neuronu na nervosvalové ploténce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klobásový jed (botulus = klobása)</w:t>
      </w:r>
    </w:p>
    <w:p w:rsidR="00000000" w:rsidDel="00000000" w:rsidP="00000000" w:rsidRDefault="00000000" w:rsidRPr="00000000">
      <w:pPr>
        <w:pStyle w:val="Heading3"/>
        <w:contextualSpacing w:val="0"/>
        <w:rPr/>
      </w:pPr>
      <w:bookmarkStart w:colFirst="0" w:colLast="0" w:name="_cx3wxf24dxwq" w:id="17"/>
      <w:bookmarkEnd w:id="17"/>
      <w:r w:rsidDel="00000000" w:rsidR="00000000" w:rsidRPr="00000000">
        <w:rPr>
          <w:rtl w:val="0"/>
        </w:rPr>
        <w:t xml:space="preserve">Kurare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= látka která blokuje nervosvalový přenos a tak ochromí činnost kosterní svaloviny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používá se jako myorelaxancia při operacích k odstranění svalového napětí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sz w:val="22"/>
          <w:szCs w:val="22"/>
        </w:rPr>
      </w:pPr>
      <w:r w:rsidDel="00000000" w:rsidR="00000000" w:rsidRPr="00000000">
        <w:rPr>
          <w:rtl w:val="0"/>
        </w:rPr>
        <w:t xml:space="preserve">látka ze stromů jižní Ameriky</w:t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c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4.png"/><Relationship Id="rId10" Type="http://schemas.openxmlformats.org/officeDocument/2006/relationships/image" Target="media/image18.png"/><Relationship Id="rId13" Type="http://schemas.openxmlformats.org/officeDocument/2006/relationships/image" Target="media/image1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4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8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